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20" w:rsidRPr="005F5720" w:rsidRDefault="005F5720" w:rsidP="005F5720">
      <w:pPr>
        <w:spacing w:before="100" w:beforeAutospacing="1" w:after="100" w:afterAutospacing="1"/>
        <w:rPr>
          <w:rFonts w:ascii="Times New Roman" w:eastAsia="Times New Roman" w:hAnsi="Times New Roman" w:cs="Times New Roman"/>
          <w:color w:val="000000"/>
          <w:sz w:val="24"/>
          <w:szCs w:val="24"/>
        </w:rPr>
      </w:pPr>
      <w:r w:rsidRPr="005F5720">
        <w:rPr>
          <w:rFonts w:ascii="Times New Roman" w:eastAsia="Times New Roman" w:hAnsi="Times New Roman" w:cs="Times New Roman"/>
          <w:color w:val="000000"/>
          <w:sz w:val="24"/>
          <w:szCs w:val="24"/>
        </w:rPr>
        <w:t>As with all research conducted at Brookhaven National Laboratory (BNL), the Laboratory Director reserves the right to accept proposed experiments, request modifications or additional review, or reject proposed experiments</w:t>
      </w:r>
      <w:proofErr w:type="gramStart"/>
      <w:r w:rsidRPr="005F5720">
        <w:rPr>
          <w:rFonts w:ascii="Times New Roman" w:eastAsia="Times New Roman" w:hAnsi="Times New Roman" w:cs="Times New Roman"/>
          <w:color w:val="000000"/>
          <w:sz w:val="24"/>
          <w:szCs w:val="24"/>
        </w:rPr>
        <w:t xml:space="preserve">. </w:t>
      </w:r>
      <w:proofErr w:type="gramEnd"/>
      <w:r w:rsidRPr="005F5720">
        <w:rPr>
          <w:rFonts w:ascii="Times New Roman" w:eastAsia="Times New Roman" w:hAnsi="Times New Roman" w:cs="Times New Roman"/>
          <w:color w:val="000000"/>
          <w:sz w:val="24"/>
          <w:szCs w:val="24"/>
        </w:rPr>
        <w:t>To ensure that the use of animals in research is conducted in accordance with the BNL mission, the process for triggering and implementing a Director-level review is detailed below.</w:t>
      </w:r>
    </w:p>
    <w:p w:rsidR="005F5720" w:rsidRPr="005F5720" w:rsidRDefault="005F5720" w:rsidP="005F5720">
      <w:pPr>
        <w:spacing w:before="100" w:beforeAutospacing="1" w:after="100" w:afterAutospacing="1"/>
        <w:rPr>
          <w:rFonts w:ascii="Times New Roman" w:eastAsia="Times New Roman" w:hAnsi="Times New Roman" w:cs="Times New Roman"/>
          <w:color w:val="000000"/>
          <w:sz w:val="24"/>
          <w:szCs w:val="24"/>
        </w:rPr>
      </w:pPr>
      <w:r w:rsidRPr="005F5720">
        <w:rPr>
          <w:rFonts w:ascii="Times New Roman" w:eastAsia="Times New Roman" w:hAnsi="Times New Roman" w:cs="Times New Roman"/>
          <w:color w:val="000000"/>
          <w:sz w:val="24"/>
          <w:szCs w:val="24"/>
        </w:rPr>
        <w:t>At the time of proposal review by the BNL Institutional Animal Care and Use Committee (IACUC), the IACUC Chair and/or Administrator will categorize the proposed research project as to whether the experimental protocol involves a USDA-regulated animal species*</w:t>
      </w:r>
      <w:proofErr w:type="gramStart"/>
      <w:r w:rsidRPr="005F5720">
        <w:rPr>
          <w:rFonts w:ascii="Times New Roman" w:eastAsia="Times New Roman" w:hAnsi="Times New Roman" w:cs="Times New Roman"/>
          <w:color w:val="000000"/>
          <w:sz w:val="24"/>
          <w:szCs w:val="24"/>
        </w:rPr>
        <w:t xml:space="preserve">. </w:t>
      </w:r>
      <w:proofErr w:type="gramEnd"/>
      <w:r w:rsidRPr="005F5720">
        <w:rPr>
          <w:rFonts w:ascii="Times New Roman" w:eastAsia="Times New Roman" w:hAnsi="Times New Roman" w:cs="Times New Roman"/>
          <w:color w:val="000000"/>
          <w:sz w:val="24"/>
          <w:szCs w:val="24"/>
        </w:rPr>
        <w:t>If the proposal involves a non-USDA-regulated species, only IACUC approval will be required</w:t>
      </w:r>
      <w:proofErr w:type="gramStart"/>
      <w:r w:rsidRPr="005F5720">
        <w:rPr>
          <w:rFonts w:ascii="Times New Roman" w:eastAsia="Times New Roman" w:hAnsi="Times New Roman" w:cs="Times New Roman"/>
          <w:color w:val="000000"/>
          <w:sz w:val="24"/>
          <w:szCs w:val="24"/>
        </w:rPr>
        <w:t xml:space="preserve">. </w:t>
      </w:r>
      <w:proofErr w:type="gramEnd"/>
      <w:r w:rsidRPr="005F5720">
        <w:rPr>
          <w:rFonts w:ascii="Times New Roman" w:eastAsia="Times New Roman" w:hAnsi="Times New Roman" w:cs="Times New Roman"/>
          <w:color w:val="000000"/>
          <w:sz w:val="24"/>
          <w:szCs w:val="24"/>
        </w:rPr>
        <w:t>If the proposal involves a USDA-regulated species and the IACUC approves the protocol, the proposal will be forwarded to the Modified Institutional Risk Management Committee (MIRC) for further review</w:t>
      </w:r>
      <w:proofErr w:type="gramStart"/>
      <w:r w:rsidRPr="005F5720">
        <w:rPr>
          <w:rFonts w:ascii="Times New Roman" w:eastAsia="Times New Roman" w:hAnsi="Times New Roman" w:cs="Times New Roman"/>
          <w:color w:val="000000"/>
          <w:sz w:val="24"/>
          <w:szCs w:val="24"/>
        </w:rPr>
        <w:t xml:space="preserve">. </w:t>
      </w:r>
      <w:proofErr w:type="gramEnd"/>
      <w:r w:rsidRPr="005F5720">
        <w:rPr>
          <w:rFonts w:ascii="Times New Roman" w:eastAsia="Times New Roman" w:hAnsi="Times New Roman" w:cs="Times New Roman"/>
          <w:color w:val="000000"/>
          <w:sz w:val="24"/>
          <w:szCs w:val="24"/>
        </w:rPr>
        <w:t xml:space="preserve">Laboratory approval will be withheld until the MIRC review process is complete and Laboratory Director </w:t>
      </w:r>
      <w:proofErr w:type="gramStart"/>
      <w:r w:rsidRPr="005F5720">
        <w:rPr>
          <w:rFonts w:ascii="Times New Roman" w:eastAsia="Times New Roman" w:hAnsi="Times New Roman" w:cs="Times New Roman"/>
          <w:color w:val="000000"/>
          <w:sz w:val="24"/>
          <w:szCs w:val="24"/>
        </w:rPr>
        <w:t>approval</w:t>
      </w:r>
      <w:proofErr w:type="gramEnd"/>
      <w:r w:rsidRPr="005F5720">
        <w:rPr>
          <w:rFonts w:ascii="Times New Roman" w:eastAsia="Times New Roman" w:hAnsi="Times New Roman" w:cs="Times New Roman"/>
          <w:color w:val="000000"/>
          <w:sz w:val="24"/>
          <w:szCs w:val="24"/>
        </w:rPr>
        <w:t xml:space="preserve"> is granted.</w:t>
      </w:r>
    </w:p>
    <w:p w:rsidR="005F5720" w:rsidRPr="005F5720" w:rsidRDefault="005F5720" w:rsidP="005F5720">
      <w:pPr>
        <w:spacing w:before="100" w:beforeAutospacing="1" w:after="100" w:afterAutospacing="1"/>
        <w:rPr>
          <w:rFonts w:ascii="Times New Roman" w:eastAsia="Times New Roman" w:hAnsi="Times New Roman" w:cs="Times New Roman"/>
          <w:color w:val="000000"/>
          <w:sz w:val="24"/>
          <w:szCs w:val="24"/>
        </w:rPr>
      </w:pPr>
      <w:r w:rsidRPr="005F5720">
        <w:rPr>
          <w:rFonts w:ascii="Times New Roman" w:eastAsia="Times New Roman" w:hAnsi="Times New Roman" w:cs="Times New Roman"/>
          <w:color w:val="000000"/>
          <w:sz w:val="24"/>
          <w:szCs w:val="24"/>
        </w:rPr>
        <w:t>If MIRC review is warranted, information to be sent to the MIRC by the IACUC Chair and/or Administrator includes:</w:t>
      </w:r>
    </w:p>
    <w:p w:rsidR="005F5720" w:rsidRPr="005F5720" w:rsidRDefault="005F5720" w:rsidP="005F5720">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5F5720">
        <w:rPr>
          <w:rFonts w:ascii="Times New Roman" w:eastAsia="Times New Roman" w:hAnsi="Times New Roman" w:cs="Times New Roman"/>
          <w:color w:val="000000"/>
          <w:sz w:val="24"/>
          <w:szCs w:val="24"/>
        </w:rPr>
        <w:t>A short 1-2 page description of the project, written with sufficient detail in non-technical language, that includes a description of the research, its goals and expected scientific impact, the type and number of species, the reason these particular species were chosen, and their status at the conclusion of the work</w:t>
      </w:r>
      <w:proofErr w:type="gramStart"/>
      <w:r w:rsidRPr="005F5720">
        <w:rPr>
          <w:rFonts w:ascii="Times New Roman" w:eastAsia="Times New Roman" w:hAnsi="Times New Roman" w:cs="Times New Roman"/>
          <w:color w:val="000000"/>
          <w:sz w:val="24"/>
          <w:szCs w:val="24"/>
        </w:rPr>
        <w:t xml:space="preserve">. </w:t>
      </w:r>
      <w:proofErr w:type="gramEnd"/>
      <w:r w:rsidRPr="005F5720">
        <w:rPr>
          <w:rFonts w:ascii="Times New Roman" w:eastAsia="Times New Roman" w:hAnsi="Times New Roman" w:cs="Times New Roman"/>
          <w:color w:val="000000"/>
          <w:sz w:val="24"/>
          <w:szCs w:val="24"/>
        </w:rPr>
        <w:t xml:space="preserve">This summary will be prepared by the IACUC Chair and/or Administrator with input solicited from PI. </w:t>
      </w:r>
    </w:p>
    <w:p w:rsidR="005F5720" w:rsidRPr="005F5720" w:rsidRDefault="005F5720" w:rsidP="005F5720">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5F5720">
        <w:rPr>
          <w:rFonts w:ascii="Times New Roman" w:eastAsia="Times New Roman" w:hAnsi="Times New Roman" w:cs="Times New Roman"/>
          <w:color w:val="000000"/>
          <w:sz w:val="24"/>
          <w:szCs w:val="24"/>
        </w:rPr>
        <w:t xml:space="preserve">If a more in-depth review by the MIRC is requested, a copy of the PI’s project grant proposal and associated peer review documentation is to be provided by the PI to the MIRC via the IACUC Chair and/or Administrator. </w:t>
      </w:r>
    </w:p>
    <w:p w:rsidR="005F5720" w:rsidRPr="005F5720" w:rsidRDefault="005F5720" w:rsidP="005F5720">
      <w:pPr>
        <w:spacing w:before="100" w:beforeAutospacing="1" w:after="100" w:afterAutospacing="1"/>
        <w:rPr>
          <w:rFonts w:ascii="Times New Roman" w:eastAsia="Times New Roman" w:hAnsi="Times New Roman" w:cs="Times New Roman"/>
          <w:color w:val="000000"/>
          <w:sz w:val="24"/>
          <w:szCs w:val="24"/>
        </w:rPr>
      </w:pPr>
      <w:r w:rsidRPr="005F5720">
        <w:rPr>
          <w:rFonts w:ascii="Times New Roman" w:eastAsia="Times New Roman" w:hAnsi="Times New Roman" w:cs="Times New Roman"/>
          <w:color w:val="000000"/>
          <w:sz w:val="24"/>
          <w:szCs w:val="24"/>
        </w:rPr>
        <w:t xml:space="preserve">The MIRC will include: </w:t>
      </w:r>
    </w:p>
    <w:p w:rsidR="005F5720" w:rsidRPr="005F5720" w:rsidRDefault="005F5720" w:rsidP="005F5720">
      <w:pPr>
        <w:numPr>
          <w:ilvl w:val="0"/>
          <w:numId w:val="2"/>
        </w:numPr>
        <w:spacing w:before="100" w:beforeAutospacing="1" w:after="100" w:afterAutospacing="1"/>
        <w:rPr>
          <w:rFonts w:ascii="Times New Roman" w:eastAsia="Times New Roman" w:hAnsi="Times New Roman" w:cs="Times New Roman"/>
          <w:color w:val="000000"/>
          <w:sz w:val="24"/>
          <w:szCs w:val="24"/>
        </w:rPr>
      </w:pPr>
      <w:r w:rsidRPr="005F5720">
        <w:rPr>
          <w:rFonts w:ascii="Times New Roman" w:eastAsia="Times New Roman" w:hAnsi="Times New Roman" w:cs="Times New Roman"/>
          <w:color w:val="000000"/>
          <w:sz w:val="24"/>
          <w:szCs w:val="24"/>
        </w:rPr>
        <w:t xml:space="preserve">Institutional Risk Management Committee (IRMC) – The IRMC is commissioned by the Laboratory Director to perform institutional performance and risk management monitoring and to recommend and/or decide on management actions in the broadly defined categories of Strategy, Reputation, Operational, Financial, and Tactical Risks (see the </w:t>
      </w:r>
      <w:hyperlink r:id="rId5" w:history="1">
        <w:r w:rsidRPr="005F5720">
          <w:rPr>
            <w:rFonts w:ascii="Times New Roman" w:eastAsia="Times New Roman" w:hAnsi="Times New Roman" w:cs="Times New Roman"/>
            <w:color w:val="0000FF"/>
            <w:sz w:val="24"/>
            <w:szCs w:val="24"/>
            <w:u w:val="single"/>
          </w:rPr>
          <w:t>Appendix B. Institutional Risk Management Committee [IRMC] Charter</w:t>
        </w:r>
      </w:hyperlink>
      <w:r w:rsidRPr="005F5720">
        <w:rPr>
          <w:rFonts w:ascii="Times New Roman" w:eastAsia="Times New Roman" w:hAnsi="Times New Roman" w:cs="Times New Roman"/>
          <w:color w:val="000000"/>
          <w:sz w:val="24"/>
          <w:szCs w:val="24"/>
        </w:rPr>
        <w:t xml:space="preserve"> in the </w:t>
      </w:r>
      <w:hyperlink r:id="rId6" w:history="1">
        <w:r w:rsidRPr="005F5720">
          <w:rPr>
            <w:rFonts w:ascii="Times New Roman" w:eastAsia="Times New Roman" w:hAnsi="Times New Roman" w:cs="Times New Roman"/>
            <w:color w:val="0000FF"/>
            <w:sz w:val="24"/>
            <w:szCs w:val="24"/>
            <w:u w:val="single"/>
          </w:rPr>
          <w:t>Contractor Assurance System</w:t>
        </w:r>
      </w:hyperlink>
      <w:r w:rsidRPr="005F5720">
        <w:rPr>
          <w:rFonts w:ascii="Times New Roman" w:eastAsia="Times New Roman" w:hAnsi="Times New Roman" w:cs="Times New Roman"/>
          <w:color w:val="000000"/>
          <w:sz w:val="24"/>
          <w:szCs w:val="24"/>
        </w:rPr>
        <w:t xml:space="preserve"> Program Description). </w:t>
      </w:r>
    </w:p>
    <w:p w:rsidR="005F5720" w:rsidRPr="005F5720" w:rsidRDefault="005F5720" w:rsidP="005F5720">
      <w:pPr>
        <w:numPr>
          <w:ilvl w:val="0"/>
          <w:numId w:val="2"/>
        </w:numPr>
        <w:spacing w:before="100" w:beforeAutospacing="1" w:after="100" w:afterAutospacing="1"/>
        <w:rPr>
          <w:rFonts w:ascii="Times New Roman" w:eastAsia="Times New Roman" w:hAnsi="Times New Roman" w:cs="Times New Roman"/>
          <w:color w:val="000000"/>
          <w:sz w:val="24"/>
          <w:szCs w:val="24"/>
        </w:rPr>
      </w:pPr>
      <w:r w:rsidRPr="005F5720">
        <w:rPr>
          <w:rFonts w:ascii="Times New Roman" w:eastAsia="Times New Roman" w:hAnsi="Times New Roman" w:cs="Times New Roman"/>
          <w:color w:val="000000"/>
          <w:sz w:val="24"/>
          <w:szCs w:val="24"/>
        </w:rPr>
        <w:t xml:space="preserve">Consultants as needed – Consultants may be BNL or non-BNL subject matter experts in a field relevant to the proposal. </w:t>
      </w:r>
    </w:p>
    <w:p w:rsidR="005F5720" w:rsidRPr="005F5720" w:rsidRDefault="005F5720" w:rsidP="005F5720">
      <w:pPr>
        <w:spacing w:before="100" w:beforeAutospacing="1" w:after="100" w:afterAutospacing="1"/>
        <w:rPr>
          <w:rFonts w:ascii="Times New Roman" w:eastAsia="Times New Roman" w:hAnsi="Times New Roman" w:cs="Times New Roman"/>
          <w:color w:val="000000"/>
          <w:sz w:val="24"/>
          <w:szCs w:val="24"/>
        </w:rPr>
      </w:pPr>
      <w:r w:rsidRPr="005F5720">
        <w:rPr>
          <w:rFonts w:ascii="Times New Roman" w:eastAsia="Times New Roman" w:hAnsi="Times New Roman" w:cs="Times New Roman"/>
          <w:color w:val="000000"/>
          <w:sz w:val="24"/>
          <w:szCs w:val="24"/>
        </w:rPr>
        <w:t>The MIRC is expected to make recommendations to the Laboratory Director as quickly as the availability of the required information stated above allows, so as not to unduly impact the proposed research</w:t>
      </w:r>
      <w:proofErr w:type="gramStart"/>
      <w:r w:rsidRPr="005F5720">
        <w:rPr>
          <w:rFonts w:ascii="Times New Roman" w:eastAsia="Times New Roman" w:hAnsi="Times New Roman" w:cs="Times New Roman"/>
          <w:color w:val="000000"/>
          <w:sz w:val="24"/>
          <w:szCs w:val="24"/>
        </w:rPr>
        <w:t xml:space="preserve">. </w:t>
      </w:r>
      <w:proofErr w:type="gramEnd"/>
      <w:r w:rsidRPr="005F5720">
        <w:rPr>
          <w:rFonts w:ascii="Times New Roman" w:eastAsia="Times New Roman" w:hAnsi="Times New Roman" w:cs="Times New Roman"/>
          <w:color w:val="000000"/>
          <w:sz w:val="24"/>
          <w:szCs w:val="24"/>
        </w:rPr>
        <w:t>The time frames given below are the maximum allowed to complete this MIRC review process.</w:t>
      </w:r>
    </w:p>
    <w:p w:rsidR="005F5720" w:rsidRPr="005F5720" w:rsidRDefault="005F5720" w:rsidP="005F5720">
      <w:pPr>
        <w:spacing w:before="100" w:beforeAutospacing="1" w:after="100" w:afterAutospacing="1"/>
        <w:rPr>
          <w:rFonts w:ascii="Times New Roman" w:eastAsia="Times New Roman" w:hAnsi="Times New Roman" w:cs="Times New Roman"/>
          <w:color w:val="000000"/>
          <w:sz w:val="24"/>
          <w:szCs w:val="24"/>
        </w:rPr>
      </w:pPr>
      <w:r w:rsidRPr="005F5720">
        <w:rPr>
          <w:rFonts w:ascii="Times New Roman" w:eastAsia="Times New Roman" w:hAnsi="Times New Roman" w:cs="Times New Roman"/>
          <w:color w:val="000000"/>
          <w:sz w:val="24"/>
          <w:szCs w:val="24"/>
        </w:rPr>
        <w:t>Within 30 days of receiving the case from the IACUC, the MIRC review process shall:</w:t>
      </w:r>
    </w:p>
    <w:p w:rsidR="005F5720" w:rsidRPr="005F5720" w:rsidRDefault="005F5720" w:rsidP="005F5720">
      <w:pPr>
        <w:numPr>
          <w:ilvl w:val="0"/>
          <w:numId w:val="3"/>
        </w:numPr>
        <w:spacing w:before="100" w:beforeAutospacing="1" w:after="100" w:afterAutospacing="1"/>
        <w:rPr>
          <w:rFonts w:ascii="Times New Roman" w:eastAsia="Times New Roman" w:hAnsi="Times New Roman" w:cs="Times New Roman"/>
          <w:color w:val="000000"/>
          <w:sz w:val="24"/>
          <w:szCs w:val="24"/>
        </w:rPr>
      </w:pPr>
      <w:r w:rsidRPr="005F5720">
        <w:rPr>
          <w:rFonts w:ascii="Times New Roman" w:eastAsia="Times New Roman" w:hAnsi="Times New Roman" w:cs="Times New Roman"/>
          <w:color w:val="000000"/>
          <w:sz w:val="24"/>
          <w:szCs w:val="24"/>
        </w:rPr>
        <w:t xml:space="preserve">Solicit additional input from the PI and the IACUC as needed. </w:t>
      </w:r>
    </w:p>
    <w:p w:rsidR="005F5720" w:rsidRPr="005F5720" w:rsidRDefault="005F5720" w:rsidP="005F5720">
      <w:pPr>
        <w:numPr>
          <w:ilvl w:val="0"/>
          <w:numId w:val="3"/>
        </w:numPr>
        <w:spacing w:before="100" w:beforeAutospacing="1" w:after="100" w:afterAutospacing="1"/>
        <w:rPr>
          <w:rFonts w:ascii="Times New Roman" w:eastAsia="Times New Roman" w:hAnsi="Times New Roman" w:cs="Times New Roman"/>
          <w:color w:val="000000"/>
          <w:sz w:val="24"/>
          <w:szCs w:val="24"/>
        </w:rPr>
      </w:pPr>
      <w:r w:rsidRPr="005F5720">
        <w:rPr>
          <w:rFonts w:ascii="Times New Roman" w:eastAsia="Times New Roman" w:hAnsi="Times New Roman" w:cs="Times New Roman"/>
          <w:color w:val="000000"/>
          <w:sz w:val="24"/>
          <w:szCs w:val="24"/>
        </w:rPr>
        <w:lastRenderedPageBreak/>
        <w:t xml:space="preserve">Draft a recommendation to accept, request modifications or additional review, or reject the proposal. </w:t>
      </w:r>
    </w:p>
    <w:p w:rsidR="005F5720" w:rsidRPr="005F5720" w:rsidRDefault="005F5720" w:rsidP="005F5720">
      <w:pPr>
        <w:numPr>
          <w:ilvl w:val="0"/>
          <w:numId w:val="3"/>
        </w:numPr>
        <w:spacing w:before="100" w:beforeAutospacing="1" w:after="100" w:afterAutospacing="1"/>
        <w:rPr>
          <w:rFonts w:ascii="Times New Roman" w:eastAsia="Times New Roman" w:hAnsi="Times New Roman" w:cs="Times New Roman"/>
          <w:color w:val="000000"/>
          <w:sz w:val="24"/>
          <w:szCs w:val="24"/>
        </w:rPr>
      </w:pPr>
      <w:r w:rsidRPr="005F5720">
        <w:rPr>
          <w:rFonts w:ascii="Times New Roman" w:eastAsia="Times New Roman" w:hAnsi="Times New Roman" w:cs="Times New Roman"/>
          <w:color w:val="000000"/>
          <w:sz w:val="24"/>
          <w:szCs w:val="24"/>
        </w:rPr>
        <w:t xml:space="preserve">Inform the PI, IACUC Chair and Administrator, and managers of the BNL Laboratory Animal Facility (BLAF) and relevant user facility in which experiments are to be conducted (e.g., NSRL, NSLS-II) of their recommendation. </w:t>
      </w:r>
    </w:p>
    <w:p w:rsidR="005F5720" w:rsidRPr="005F5720" w:rsidRDefault="005F5720" w:rsidP="005F5720">
      <w:pPr>
        <w:numPr>
          <w:ilvl w:val="0"/>
          <w:numId w:val="3"/>
        </w:numPr>
        <w:spacing w:before="100" w:beforeAutospacing="1" w:after="100" w:afterAutospacing="1"/>
        <w:rPr>
          <w:rFonts w:ascii="Times New Roman" w:eastAsia="Times New Roman" w:hAnsi="Times New Roman" w:cs="Times New Roman"/>
          <w:color w:val="000000"/>
          <w:sz w:val="24"/>
          <w:szCs w:val="24"/>
        </w:rPr>
      </w:pPr>
      <w:r w:rsidRPr="005F5720">
        <w:rPr>
          <w:rFonts w:ascii="Times New Roman" w:eastAsia="Times New Roman" w:hAnsi="Times New Roman" w:cs="Times New Roman"/>
          <w:color w:val="000000"/>
          <w:sz w:val="24"/>
          <w:szCs w:val="24"/>
        </w:rPr>
        <w:t xml:space="preserve">If modifications are requested, these are to be supplied within 30 days, and the MIRC has an additional 30 days to make a final recommendation, after which the Laboratory Director will make a final judgment. </w:t>
      </w:r>
    </w:p>
    <w:p w:rsidR="005F5720" w:rsidRPr="005F5720" w:rsidRDefault="005F5720" w:rsidP="005F5720">
      <w:pPr>
        <w:numPr>
          <w:ilvl w:val="0"/>
          <w:numId w:val="3"/>
        </w:numPr>
        <w:spacing w:before="100" w:beforeAutospacing="1" w:after="100" w:afterAutospacing="1"/>
        <w:rPr>
          <w:rFonts w:ascii="Times New Roman" w:eastAsia="Times New Roman" w:hAnsi="Times New Roman" w:cs="Times New Roman"/>
          <w:color w:val="000000"/>
          <w:sz w:val="24"/>
          <w:szCs w:val="24"/>
        </w:rPr>
      </w:pPr>
      <w:r w:rsidRPr="005F5720">
        <w:rPr>
          <w:rFonts w:ascii="Times New Roman" w:eastAsia="Times New Roman" w:hAnsi="Times New Roman" w:cs="Times New Roman"/>
          <w:color w:val="000000"/>
          <w:sz w:val="24"/>
          <w:szCs w:val="24"/>
        </w:rPr>
        <w:t xml:space="preserve">The IACUC will notify the PI of the decision to either accept or reject the proposal. </w:t>
      </w:r>
    </w:p>
    <w:p w:rsidR="005F5720" w:rsidRPr="005F5720" w:rsidRDefault="005F5720" w:rsidP="005F5720">
      <w:pPr>
        <w:spacing w:before="100" w:beforeAutospacing="1" w:after="100" w:afterAutospacing="1"/>
        <w:rPr>
          <w:rFonts w:ascii="Times New Roman" w:eastAsia="Times New Roman" w:hAnsi="Times New Roman" w:cs="Times New Roman"/>
          <w:color w:val="000000"/>
          <w:sz w:val="24"/>
          <w:szCs w:val="24"/>
        </w:rPr>
      </w:pPr>
      <w:r w:rsidRPr="005F5720">
        <w:rPr>
          <w:rFonts w:ascii="Times New Roman" w:eastAsia="Times New Roman" w:hAnsi="Times New Roman" w:cs="Times New Roman"/>
          <w:color w:val="000000"/>
          <w:sz w:val="24"/>
          <w:szCs w:val="24"/>
        </w:rPr>
        <w:t xml:space="preserve">* </w:t>
      </w:r>
      <w:hyperlink r:id="rId7" w:history="1">
        <w:r w:rsidRPr="005F5720">
          <w:rPr>
            <w:rFonts w:ascii="Times New Roman" w:eastAsia="Times New Roman" w:hAnsi="Times New Roman" w:cs="Times New Roman"/>
            <w:color w:val="0000FF"/>
            <w:sz w:val="24"/>
            <w:szCs w:val="24"/>
            <w:u w:val="single"/>
          </w:rPr>
          <w:t>Definition of USDA-regulated species</w:t>
        </w:r>
      </w:hyperlink>
      <w:proofErr w:type="gramStart"/>
      <w:r w:rsidRPr="005F5720">
        <w:rPr>
          <w:rFonts w:ascii="Times New Roman" w:eastAsia="Times New Roman" w:hAnsi="Times New Roman" w:cs="Times New Roman"/>
          <w:color w:val="000000"/>
          <w:sz w:val="24"/>
          <w:szCs w:val="24"/>
        </w:rPr>
        <w:t xml:space="preserve">. </w:t>
      </w:r>
      <w:proofErr w:type="gramEnd"/>
      <w:r w:rsidRPr="005F5720">
        <w:rPr>
          <w:rFonts w:ascii="Times New Roman" w:eastAsia="Times New Roman" w:hAnsi="Times New Roman" w:cs="Times New Roman"/>
          <w:color w:val="000000"/>
          <w:sz w:val="24"/>
          <w:szCs w:val="24"/>
        </w:rPr>
        <w:t>(Authority: 7 U.S.C. 2131–2159; 7 CFR 2.22, 2.80, and 371.7)</w:t>
      </w:r>
      <w:r w:rsidRPr="005F5720">
        <w:rPr>
          <w:rFonts w:ascii="Times New Roman" w:eastAsia="Times New Roman" w:hAnsi="Times New Roman" w:cs="Times New Roman"/>
          <w:color w:val="000000"/>
          <w:sz w:val="24"/>
          <w:szCs w:val="24"/>
        </w:rPr>
        <w:br/>
        <w:t>1.1 Animal means any live or dead dog, cat, nonhuman primate, guinea pig, hamster, rabbit, or any other warm blooded animal, which is being used, or is intended for use for research, teaching, testing, experimentation, or exhibition purposes, or as a pet</w:t>
      </w:r>
      <w:proofErr w:type="gramStart"/>
      <w:r w:rsidRPr="005F5720">
        <w:rPr>
          <w:rFonts w:ascii="Times New Roman" w:eastAsia="Times New Roman" w:hAnsi="Times New Roman" w:cs="Times New Roman"/>
          <w:color w:val="000000"/>
          <w:sz w:val="24"/>
          <w:szCs w:val="24"/>
        </w:rPr>
        <w:t xml:space="preserve">. </w:t>
      </w:r>
      <w:proofErr w:type="gramEnd"/>
      <w:r w:rsidRPr="005F5720">
        <w:rPr>
          <w:rFonts w:ascii="Times New Roman" w:eastAsia="Times New Roman" w:hAnsi="Times New Roman" w:cs="Times New Roman"/>
          <w:color w:val="000000"/>
          <w:sz w:val="24"/>
          <w:szCs w:val="24"/>
        </w:rPr>
        <w:t xml:space="preserve">This term excludes birds, rats of the genus </w:t>
      </w:r>
      <w:proofErr w:type="spellStart"/>
      <w:r w:rsidRPr="005F5720">
        <w:rPr>
          <w:rFonts w:ascii="Times New Roman" w:eastAsia="Times New Roman" w:hAnsi="Times New Roman" w:cs="Times New Roman"/>
          <w:color w:val="000000"/>
          <w:sz w:val="24"/>
          <w:szCs w:val="24"/>
        </w:rPr>
        <w:t>Rattus</w:t>
      </w:r>
      <w:proofErr w:type="spellEnd"/>
      <w:r w:rsidRPr="005F5720">
        <w:rPr>
          <w:rFonts w:ascii="Times New Roman" w:eastAsia="Times New Roman" w:hAnsi="Times New Roman" w:cs="Times New Roman"/>
          <w:color w:val="000000"/>
          <w:sz w:val="24"/>
          <w:szCs w:val="24"/>
        </w:rPr>
        <w:t xml:space="preserve">, and mice of the genus </w:t>
      </w:r>
      <w:proofErr w:type="spellStart"/>
      <w:r w:rsidRPr="005F5720">
        <w:rPr>
          <w:rFonts w:ascii="Times New Roman" w:eastAsia="Times New Roman" w:hAnsi="Times New Roman" w:cs="Times New Roman"/>
          <w:color w:val="000000"/>
          <w:sz w:val="24"/>
          <w:szCs w:val="24"/>
        </w:rPr>
        <w:t>Mus</w:t>
      </w:r>
      <w:proofErr w:type="spellEnd"/>
      <w:r w:rsidRPr="005F5720">
        <w:rPr>
          <w:rFonts w:ascii="Times New Roman" w:eastAsia="Times New Roman" w:hAnsi="Times New Roman" w:cs="Times New Roman"/>
          <w:color w:val="000000"/>
          <w:sz w:val="24"/>
          <w:szCs w:val="24"/>
        </w:rPr>
        <w:t xml:space="preserve">, bred for use in research; horses not used for research purposes; and other farm animals, such as, but not limited to, livestock or poultry used or intended for use as food or fiber, or livestock or poultry used or intended for use for improving animal nutrition, breeding, management, or production efficiency, or for improving the quality of food or fiber. </w:t>
      </w:r>
    </w:p>
    <w:p w:rsidR="00AF2356" w:rsidRDefault="00AF2356"/>
    <w:sectPr w:rsidR="00AF2356" w:rsidSect="00AF23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49C4"/>
    <w:multiLevelType w:val="multilevel"/>
    <w:tmpl w:val="55866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FD7C5D"/>
    <w:multiLevelType w:val="multilevel"/>
    <w:tmpl w:val="80DC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FE07EA"/>
    <w:multiLevelType w:val="multilevel"/>
    <w:tmpl w:val="9FC49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720"/>
    <w:rsid w:val="005F5720"/>
    <w:rsid w:val="00A21D90"/>
    <w:rsid w:val="00AF2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720"/>
    <w:rPr>
      <w:color w:val="0000FF"/>
      <w:u w:val="single"/>
    </w:rPr>
  </w:style>
  <w:style w:type="paragraph" w:styleId="NormalWeb">
    <w:name w:val="Normal (Web)"/>
    <w:basedOn w:val="Normal"/>
    <w:uiPriority w:val="99"/>
    <w:semiHidden/>
    <w:unhideWhenUsed/>
    <w:rsid w:val="005F5720"/>
    <w:pPr>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091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ocket.access.gpo.gov/cfr_2006/janqtr/pdf/9cfr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ms.bnl.gov/draft/ProgDesc/CAS/CAS_pd.cfm" TargetMode="External"/><Relationship Id="rId5" Type="http://schemas.openxmlformats.org/officeDocument/2006/relationships/hyperlink" Target="https://sbms.bnl.gov/SBMSearch/ProgDesc/CAS/cas13e01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3837</Characters>
  <Application>Microsoft Office Word</Application>
  <DocSecurity>0</DocSecurity>
  <Lines>31</Lines>
  <Paragraphs>9</Paragraphs>
  <ScaleCrop>false</ScaleCrop>
  <Company>BNL</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mallon</dc:creator>
  <cp:lastModifiedBy>mallon</cp:lastModifiedBy>
  <cp:revision>1</cp:revision>
  <dcterms:created xsi:type="dcterms:W3CDTF">2012-02-13T15:30:00Z</dcterms:created>
  <dcterms:modified xsi:type="dcterms:W3CDTF">2012-02-13T15:30:00Z</dcterms:modified>
</cp:coreProperties>
</file>