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9D" w:rsidRPr="00363561" w:rsidRDefault="000277DA" w:rsidP="00A6668F">
      <w:pPr>
        <w:spacing w:after="0"/>
        <w:jc w:val="center"/>
        <w:rPr>
          <w:sz w:val="20"/>
          <w:szCs w:val="20"/>
        </w:rPr>
      </w:pPr>
      <w:r w:rsidRPr="00363561">
        <w:rPr>
          <w:sz w:val="20"/>
          <w:szCs w:val="20"/>
        </w:rPr>
        <w:t>Calculating Cost Savings from FY14 Pollution Prevention Projects</w:t>
      </w:r>
    </w:p>
    <w:p w:rsidR="00A6668F" w:rsidRPr="00363561" w:rsidRDefault="00A6668F" w:rsidP="00A6668F">
      <w:pPr>
        <w:spacing w:after="0"/>
        <w:jc w:val="center"/>
        <w:rPr>
          <w:sz w:val="20"/>
          <w:szCs w:val="20"/>
        </w:rPr>
      </w:pPr>
    </w:p>
    <w:p w:rsidR="000277DA" w:rsidRPr="00363561" w:rsidRDefault="000277DA" w:rsidP="00A6668F">
      <w:pPr>
        <w:spacing w:after="0"/>
        <w:ind w:left="1440" w:hanging="1440"/>
        <w:rPr>
          <w:sz w:val="20"/>
          <w:szCs w:val="20"/>
        </w:rPr>
      </w:pPr>
      <w:r w:rsidRPr="00363561">
        <w:rPr>
          <w:sz w:val="20"/>
          <w:szCs w:val="20"/>
        </w:rPr>
        <w:t>Purpose:</w:t>
      </w:r>
      <w:r w:rsidRPr="00363561">
        <w:rPr>
          <w:sz w:val="20"/>
          <w:szCs w:val="20"/>
        </w:rPr>
        <w:tab/>
        <w:t>To ensure a standard and credible method is used to compare the cost savings of all pollution prevention proposals, allowing ‘apples to apples’ comparison of project savings.</w:t>
      </w:r>
    </w:p>
    <w:p w:rsidR="000277DA" w:rsidRPr="00363561" w:rsidRDefault="000277DA" w:rsidP="00A6668F">
      <w:pPr>
        <w:spacing w:after="0"/>
        <w:rPr>
          <w:sz w:val="20"/>
          <w:szCs w:val="20"/>
        </w:rPr>
      </w:pPr>
    </w:p>
    <w:p w:rsidR="000277DA" w:rsidRPr="00363561" w:rsidRDefault="000277DA" w:rsidP="00A6668F">
      <w:pPr>
        <w:spacing w:after="0"/>
        <w:ind w:left="1440" w:hanging="1440"/>
        <w:rPr>
          <w:sz w:val="20"/>
          <w:szCs w:val="20"/>
        </w:rPr>
      </w:pPr>
      <w:r w:rsidRPr="00363561">
        <w:rPr>
          <w:sz w:val="20"/>
          <w:szCs w:val="20"/>
        </w:rPr>
        <w:t>Background:</w:t>
      </w:r>
      <w:r w:rsidRPr="00363561">
        <w:rPr>
          <w:sz w:val="20"/>
          <w:szCs w:val="20"/>
        </w:rPr>
        <w:tab/>
        <w:t xml:space="preserve">Pollution prevention product proposals are sought each year by the Pollution Prevention Council.  One of the critical factors in ranking proposals is the financial benefit that will result from implementation.   Return on investment (ROI) must be calculated using a standard method to ensure projects are compared fairly. </w:t>
      </w:r>
    </w:p>
    <w:p w:rsidR="000277DA" w:rsidRPr="00363561" w:rsidRDefault="000277DA" w:rsidP="00A6668F">
      <w:pPr>
        <w:spacing w:after="0"/>
        <w:rPr>
          <w:sz w:val="20"/>
          <w:szCs w:val="20"/>
        </w:rPr>
      </w:pPr>
    </w:p>
    <w:p w:rsidR="000277DA" w:rsidRPr="00363561" w:rsidRDefault="000277DA" w:rsidP="00A6668F">
      <w:pPr>
        <w:spacing w:after="0"/>
        <w:ind w:left="1440" w:hanging="1440"/>
        <w:rPr>
          <w:sz w:val="20"/>
          <w:szCs w:val="20"/>
        </w:rPr>
      </w:pPr>
      <w:r w:rsidRPr="00363561">
        <w:rPr>
          <w:sz w:val="20"/>
          <w:szCs w:val="20"/>
        </w:rPr>
        <w:t>Method:</w:t>
      </w:r>
      <w:r w:rsidRPr="00363561">
        <w:rPr>
          <w:sz w:val="20"/>
          <w:szCs w:val="20"/>
        </w:rPr>
        <w:tab/>
        <w:t>Payback Period will be the method used to measure financial benefit of project implementation.  Projects with the fastest payback of invested funds will be ranked high (considering other criteria).  Payback Period will be calculated as follows:</w:t>
      </w:r>
    </w:p>
    <w:p w:rsidR="00363561" w:rsidRPr="00363561" w:rsidRDefault="00363561" w:rsidP="00A6668F">
      <w:pPr>
        <w:spacing w:after="0"/>
        <w:ind w:left="1440" w:hanging="1440"/>
        <w:rPr>
          <w:sz w:val="20"/>
          <w:szCs w:val="20"/>
        </w:rPr>
      </w:pPr>
    </w:p>
    <w:p w:rsidR="00363561" w:rsidRDefault="000277DA" w:rsidP="00363561">
      <w:pPr>
        <w:spacing w:after="0"/>
        <w:ind w:left="1440"/>
        <w:rPr>
          <w:sz w:val="20"/>
          <w:szCs w:val="20"/>
        </w:rPr>
      </w:pPr>
      <w:r w:rsidRPr="00363561">
        <w:rPr>
          <w:sz w:val="20"/>
          <w:szCs w:val="20"/>
        </w:rPr>
        <w:t>Payback Period = Total Project Cost</w:t>
      </w:r>
    </w:p>
    <w:p w:rsidR="000277DA" w:rsidRDefault="003615F4" w:rsidP="00363561">
      <w:pPr>
        <w:spacing w:after="0"/>
        <w:ind w:left="1440"/>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1809750</wp:posOffset>
                </wp:positionH>
                <wp:positionV relativeFrom="paragraph">
                  <wp:posOffset>8890</wp:posOffset>
                </wp:positionV>
                <wp:extent cx="1190625"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2.5pt;margin-top:.7pt;width:9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BY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DQN5RmMK8CqUjsbEqQn9WyeNP3hkNJVR1TLo/HL2YBvFjySNy7h4gwE2Q9fNAMbAvix&#10;VqfG9gESqoBOsSXnW0v4ySMKj1m2TOf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"/>
            </w:pict>
          </mc:Fallback>
        </mc:AlternateContent>
      </w:r>
      <w:r w:rsidR="00363561">
        <w:rPr>
          <w:sz w:val="20"/>
          <w:szCs w:val="20"/>
        </w:rPr>
        <w:tab/>
      </w:r>
      <w:r w:rsidR="00363561">
        <w:rPr>
          <w:sz w:val="20"/>
          <w:szCs w:val="20"/>
        </w:rPr>
        <w:tab/>
      </w:r>
      <w:r w:rsidR="000277DA" w:rsidRPr="00363561">
        <w:rPr>
          <w:sz w:val="20"/>
          <w:szCs w:val="20"/>
        </w:rPr>
        <w:t>Annual Project Savings</w:t>
      </w:r>
    </w:p>
    <w:p w:rsidR="00363561" w:rsidRPr="00363561" w:rsidRDefault="00363561" w:rsidP="00363561">
      <w:pPr>
        <w:spacing w:after="0"/>
        <w:ind w:left="1440"/>
        <w:rPr>
          <w:sz w:val="20"/>
          <w:szCs w:val="20"/>
        </w:rPr>
      </w:pPr>
    </w:p>
    <w:p w:rsidR="000277DA" w:rsidRPr="00363561" w:rsidRDefault="000277DA" w:rsidP="00363561">
      <w:pPr>
        <w:spacing w:after="0"/>
        <w:ind w:left="1440"/>
        <w:rPr>
          <w:sz w:val="20"/>
          <w:szCs w:val="20"/>
        </w:rPr>
      </w:pPr>
      <w:r w:rsidRPr="00363561">
        <w:rPr>
          <w:sz w:val="20"/>
          <w:szCs w:val="20"/>
        </w:rPr>
        <w:t xml:space="preserve">Total Project Cost = all costs for implementation, including capital equipment costs, operating costs, training, installation, etc.  Don’t forget overhead costs. </w:t>
      </w:r>
    </w:p>
    <w:p w:rsidR="000277DA" w:rsidRPr="00363561" w:rsidRDefault="000277DA" w:rsidP="00363561">
      <w:pPr>
        <w:spacing w:after="0"/>
        <w:ind w:left="1440"/>
        <w:rPr>
          <w:sz w:val="20"/>
          <w:szCs w:val="20"/>
        </w:rPr>
      </w:pPr>
    </w:p>
    <w:p w:rsidR="00A6668F" w:rsidRPr="00363561" w:rsidRDefault="000277DA" w:rsidP="00363561">
      <w:pPr>
        <w:spacing w:after="0"/>
        <w:ind w:left="1440"/>
        <w:rPr>
          <w:sz w:val="20"/>
          <w:szCs w:val="20"/>
        </w:rPr>
      </w:pPr>
      <w:r w:rsidRPr="00363561">
        <w:rPr>
          <w:sz w:val="20"/>
          <w:szCs w:val="20"/>
        </w:rPr>
        <w:t>Annual Project Savings = all savings that can be documented, including reduced disposal costs*, labor savings, material savings, reduced administrative costs (e.g., for inspections, compliance, etc.)</w:t>
      </w:r>
    </w:p>
    <w:p w:rsidR="00363561" w:rsidRDefault="00363561" w:rsidP="00363561">
      <w:pPr>
        <w:spacing w:after="0"/>
        <w:ind w:left="1440"/>
        <w:rPr>
          <w:sz w:val="20"/>
          <w:szCs w:val="20"/>
        </w:rPr>
      </w:pPr>
    </w:p>
    <w:p w:rsidR="000277DA" w:rsidRPr="00363561" w:rsidRDefault="00A6668F" w:rsidP="00363561">
      <w:pPr>
        <w:spacing w:after="0"/>
        <w:ind w:left="1440"/>
        <w:rPr>
          <w:sz w:val="20"/>
          <w:szCs w:val="20"/>
        </w:rPr>
      </w:pPr>
      <w:r w:rsidRPr="00363561">
        <w:rPr>
          <w:sz w:val="20"/>
          <w:szCs w:val="20"/>
        </w:rPr>
        <w:t xml:space="preserve">* </w:t>
      </w:r>
      <w:r w:rsidR="000277DA" w:rsidRPr="00363561">
        <w:rPr>
          <w:sz w:val="20"/>
          <w:szCs w:val="20"/>
        </w:rPr>
        <w:t xml:space="preserve">“Disposal Cost” is determined by adding actual disposal costs, container costs and transportation costs.  It does not include handling or other charges related to operation and management of BNL waste management operations.  Cost savings calculated using </w:t>
      </w:r>
      <w:r w:rsidRPr="00363561">
        <w:rPr>
          <w:sz w:val="20"/>
          <w:szCs w:val="20"/>
        </w:rPr>
        <w:t>the “Disposal Cost” listed below are therefore actual cost savings</w:t>
      </w:r>
      <w:r w:rsidR="003329DE">
        <w:rPr>
          <w:sz w:val="20"/>
          <w:szCs w:val="20"/>
        </w:rPr>
        <w:t xml:space="preserve"> to BNL</w:t>
      </w:r>
      <w:r w:rsidRPr="00363561">
        <w:rPr>
          <w:sz w:val="20"/>
          <w:szCs w:val="20"/>
        </w:rPr>
        <w:t>.</w:t>
      </w:r>
    </w:p>
    <w:p w:rsidR="00363561" w:rsidRPr="00363561" w:rsidRDefault="00363561" w:rsidP="00363561">
      <w:pPr>
        <w:spacing w:after="0"/>
        <w:ind w:left="1440"/>
        <w:rPr>
          <w:sz w:val="20"/>
          <w:szCs w:val="20"/>
        </w:rPr>
      </w:pPr>
    </w:p>
    <w:tbl>
      <w:tblPr>
        <w:tblStyle w:val="TableGrid"/>
        <w:tblW w:w="0" w:type="auto"/>
        <w:tblInd w:w="1548" w:type="dxa"/>
        <w:tblLook w:val="0620" w:firstRow="1" w:lastRow="0" w:firstColumn="0" w:lastColumn="0" w:noHBand="1" w:noVBand="1"/>
      </w:tblPr>
      <w:tblGrid>
        <w:gridCol w:w="2520"/>
        <w:gridCol w:w="3960"/>
        <w:gridCol w:w="2280"/>
      </w:tblGrid>
      <w:tr w:rsidR="00A6668F" w:rsidRPr="00363561" w:rsidTr="00363561">
        <w:tc>
          <w:tcPr>
            <w:tcW w:w="2520" w:type="dxa"/>
            <w:tcBorders>
              <w:bottom w:val="double" w:sz="4" w:space="0" w:color="auto"/>
            </w:tcBorders>
          </w:tcPr>
          <w:p w:rsidR="00A6668F" w:rsidRPr="00363561" w:rsidRDefault="00A6668F" w:rsidP="00A6668F">
            <w:pPr>
              <w:rPr>
                <w:sz w:val="20"/>
                <w:szCs w:val="20"/>
              </w:rPr>
            </w:pPr>
            <w:r w:rsidRPr="00363561">
              <w:rPr>
                <w:sz w:val="20"/>
                <w:szCs w:val="20"/>
              </w:rPr>
              <w:t>Waste Type</w:t>
            </w:r>
          </w:p>
        </w:tc>
        <w:tc>
          <w:tcPr>
            <w:tcW w:w="3960" w:type="dxa"/>
            <w:tcBorders>
              <w:bottom w:val="double" w:sz="4" w:space="0" w:color="auto"/>
            </w:tcBorders>
          </w:tcPr>
          <w:p w:rsidR="00A6668F" w:rsidRPr="00363561" w:rsidRDefault="00A6668F" w:rsidP="00A6668F">
            <w:pPr>
              <w:rPr>
                <w:sz w:val="20"/>
                <w:szCs w:val="20"/>
              </w:rPr>
            </w:pPr>
            <w:r w:rsidRPr="00363561">
              <w:rPr>
                <w:sz w:val="20"/>
                <w:szCs w:val="20"/>
              </w:rPr>
              <w:t>Waste Description</w:t>
            </w:r>
          </w:p>
        </w:tc>
        <w:tc>
          <w:tcPr>
            <w:tcW w:w="2280" w:type="dxa"/>
            <w:tcBorders>
              <w:bottom w:val="double" w:sz="4" w:space="0" w:color="auto"/>
            </w:tcBorders>
          </w:tcPr>
          <w:p w:rsidR="00A6668F" w:rsidRPr="00363561" w:rsidRDefault="00A6668F" w:rsidP="00A6668F">
            <w:pPr>
              <w:rPr>
                <w:sz w:val="20"/>
                <w:szCs w:val="20"/>
              </w:rPr>
            </w:pPr>
            <w:r w:rsidRPr="00363561">
              <w:rPr>
                <w:sz w:val="20"/>
                <w:szCs w:val="20"/>
              </w:rPr>
              <w:t>Disposal Cost</w:t>
            </w:r>
          </w:p>
        </w:tc>
      </w:tr>
      <w:tr w:rsidR="00A6668F" w:rsidRPr="00363561" w:rsidTr="00363561">
        <w:tc>
          <w:tcPr>
            <w:tcW w:w="2520" w:type="dxa"/>
            <w:tcBorders>
              <w:top w:val="double" w:sz="4" w:space="0" w:color="auto"/>
            </w:tcBorders>
          </w:tcPr>
          <w:p w:rsidR="00A6668F" w:rsidRPr="00363561" w:rsidRDefault="00A6668F" w:rsidP="00A6668F">
            <w:pPr>
              <w:rPr>
                <w:sz w:val="20"/>
                <w:szCs w:val="20"/>
              </w:rPr>
            </w:pPr>
            <w:r w:rsidRPr="00363561">
              <w:rPr>
                <w:sz w:val="20"/>
                <w:szCs w:val="20"/>
              </w:rPr>
              <w:t>Radioactive Liquid</w:t>
            </w:r>
          </w:p>
        </w:tc>
        <w:tc>
          <w:tcPr>
            <w:tcW w:w="3960" w:type="dxa"/>
            <w:tcBorders>
              <w:top w:val="double" w:sz="4" w:space="0" w:color="auto"/>
            </w:tcBorders>
          </w:tcPr>
          <w:p w:rsidR="00A6668F" w:rsidRPr="00363561" w:rsidRDefault="00A6668F" w:rsidP="00A6668F">
            <w:pPr>
              <w:rPr>
                <w:sz w:val="20"/>
                <w:szCs w:val="20"/>
              </w:rPr>
            </w:pPr>
            <w:r w:rsidRPr="00363561">
              <w:rPr>
                <w:sz w:val="20"/>
                <w:szCs w:val="20"/>
              </w:rPr>
              <w:t>Liquid Low Level Radioactive Waste</w:t>
            </w:r>
          </w:p>
        </w:tc>
        <w:tc>
          <w:tcPr>
            <w:tcW w:w="2280" w:type="dxa"/>
            <w:tcBorders>
              <w:top w:val="double" w:sz="4" w:space="0" w:color="auto"/>
            </w:tcBorders>
          </w:tcPr>
          <w:p w:rsidR="00A6668F" w:rsidRPr="00363561" w:rsidRDefault="00A6668F" w:rsidP="00A6668F">
            <w:pPr>
              <w:rPr>
                <w:sz w:val="20"/>
                <w:szCs w:val="20"/>
              </w:rPr>
            </w:pPr>
            <w:r w:rsidRPr="00363561">
              <w:rPr>
                <w:sz w:val="20"/>
                <w:szCs w:val="20"/>
              </w:rPr>
              <w:t>$482.00/lb</w:t>
            </w:r>
          </w:p>
        </w:tc>
      </w:tr>
      <w:tr w:rsidR="00A6668F" w:rsidRPr="00363561" w:rsidTr="00363561">
        <w:tc>
          <w:tcPr>
            <w:tcW w:w="2520" w:type="dxa"/>
          </w:tcPr>
          <w:p w:rsidR="00A6668F" w:rsidRPr="00363561" w:rsidRDefault="00A6668F" w:rsidP="00A6668F">
            <w:pPr>
              <w:rPr>
                <w:sz w:val="20"/>
                <w:szCs w:val="20"/>
              </w:rPr>
            </w:pPr>
            <w:r w:rsidRPr="00363561">
              <w:rPr>
                <w:sz w:val="20"/>
                <w:szCs w:val="20"/>
              </w:rPr>
              <w:t>Radioactive Solid</w:t>
            </w:r>
          </w:p>
        </w:tc>
        <w:tc>
          <w:tcPr>
            <w:tcW w:w="3960" w:type="dxa"/>
          </w:tcPr>
          <w:p w:rsidR="00A6668F" w:rsidRPr="00363561" w:rsidRDefault="00A6668F" w:rsidP="00A6668F">
            <w:pPr>
              <w:rPr>
                <w:sz w:val="20"/>
                <w:szCs w:val="20"/>
              </w:rPr>
            </w:pPr>
            <w:r w:rsidRPr="00363561">
              <w:rPr>
                <w:sz w:val="20"/>
                <w:szCs w:val="20"/>
              </w:rPr>
              <w:t>Non-compactable LLW</w:t>
            </w:r>
          </w:p>
        </w:tc>
        <w:tc>
          <w:tcPr>
            <w:tcW w:w="2280" w:type="dxa"/>
          </w:tcPr>
          <w:p w:rsidR="00A6668F" w:rsidRPr="00363561" w:rsidRDefault="003615F4" w:rsidP="00A6668F">
            <w:pPr>
              <w:rPr>
                <w:sz w:val="20"/>
                <w:szCs w:val="20"/>
              </w:rPr>
            </w:pPr>
            <w:r>
              <w:rPr>
                <w:sz w:val="20"/>
                <w:szCs w:val="20"/>
              </w:rPr>
              <w:t>442</w:t>
            </w:r>
            <w:r w:rsidR="00A6668F" w:rsidRPr="00363561">
              <w:rPr>
                <w:sz w:val="20"/>
                <w:szCs w:val="20"/>
              </w:rPr>
              <w:t>.00/</w:t>
            </w:r>
            <w:proofErr w:type="spellStart"/>
            <w:r w:rsidR="00A6668F" w:rsidRPr="00363561">
              <w:rPr>
                <w:sz w:val="20"/>
                <w:szCs w:val="20"/>
              </w:rPr>
              <w:t>cuft</w:t>
            </w:r>
            <w:proofErr w:type="spellEnd"/>
          </w:p>
        </w:tc>
      </w:tr>
      <w:tr w:rsidR="00A6668F" w:rsidRPr="00363561" w:rsidTr="00363561">
        <w:tc>
          <w:tcPr>
            <w:tcW w:w="2520" w:type="dxa"/>
          </w:tcPr>
          <w:p w:rsidR="00A6668F" w:rsidRPr="00363561" w:rsidRDefault="00A6668F" w:rsidP="00A6668F">
            <w:pPr>
              <w:rPr>
                <w:sz w:val="20"/>
                <w:szCs w:val="20"/>
              </w:rPr>
            </w:pPr>
            <w:r w:rsidRPr="00363561">
              <w:rPr>
                <w:sz w:val="20"/>
                <w:szCs w:val="20"/>
              </w:rPr>
              <w:t>Mixed</w:t>
            </w:r>
          </w:p>
        </w:tc>
        <w:tc>
          <w:tcPr>
            <w:tcW w:w="3960" w:type="dxa"/>
          </w:tcPr>
          <w:p w:rsidR="00A6668F" w:rsidRPr="00363561" w:rsidRDefault="00A6668F" w:rsidP="00A6668F">
            <w:pPr>
              <w:rPr>
                <w:sz w:val="20"/>
                <w:szCs w:val="20"/>
              </w:rPr>
            </w:pPr>
            <w:r w:rsidRPr="00363561">
              <w:rPr>
                <w:sz w:val="20"/>
                <w:szCs w:val="20"/>
              </w:rPr>
              <w:t>Mixed waste</w:t>
            </w:r>
          </w:p>
        </w:tc>
        <w:tc>
          <w:tcPr>
            <w:tcW w:w="2280" w:type="dxa"/>
          </w:tcPr>
          <w:p w:rsidR="00A6668F" w:rsidRPr="00363561" w:rsidRDefault="00A6668F" w:rsidP="00A6668F">
            <w:pPr>
              <w:rPr>
                <w:sz w:val="20"/>
                <w:szCs w:val="20"/>
              </w:rPr>
            </w:pPr>
            <w:r w:rsidRPr="00363561">
              <w:rPr>
                <w:sz w:val="20"/>
                <w:szCs w:val="20"/>
              </w:rPr>
              <w:t>18</w:t>
            </w:r>
            <w:r w:rsidR="003615F4">
              <w:rPr>
                <w:sz w:val="20"/>
                <w:szCs w:val="20"/>
              </w:rPr>
              <w:t>,</w:t>
            </w:r>
            <w:r w:rsidRPr="00363561">
              <w:rPr>
                <w:sz w:val="20"/>
                <w:szCs w:val="20"/>
              </w:rPr>
              <w:t>231</w:t>
            </w:r>
            <w:r w:rsidR="003615F4">
              <w:rPr>
                <w:sz w:val="20"/>
                <w:szCs w:val="20"/>
              </w:rPr>
              <w:t>.00</w:t>
            </w:r>
            <w:r w:rsidRPr="00363561">
              <w:rPr>
                <w:sz w:val="20"/>
                <w:szCs w:val="20"/>
              </w:rPr>
              <w:t>/</w:t>
            </w:r>
            <w:proofErr w:type="spellStart"/>
            <w:r w:rsidRPr="00363561">
              <w:rPr>
                <w:sz w:val="20"/>
                <w:szCs w:val="20"/>
              </w:rPr>
              <w:t>cuft</w:t>
            </w:r>
            <w:proofErr w:type="spellEnd"/>
          </w:p>
        </w:tc>
      </w:tr>
      <w:tr w:rsidR="00A6668F" w:rsidRPr="00363561" w:rsidTr="00363561">
        <w:tc>
          <w:tcPr>
            <w:tcW w:w="2520" w:type="dxa"/>
          </w:tcPr>
          <w:p w:rsidR="00A6668F" w:rsidRPr="00363561" w:rsidRDefault="00A6668F" w:rsidP="00A6668F">
            <w:pPr>
              <w:rPr>
                <w:sz w:val="20"/>
                <w:szCs w:val="20"/>
              </w:rPr>
            </w:pPr>
            <w:r w:rsidRPr="00363561">
              <w:rPr>
                <w:sz w:val="20"/>
                <w:szCs w:val="20"/>
              </w:rPr>
              <w:t>Hazardous</w:t>
            </w:r>
          </w:p>
        </w:tc>
        <w:tc>
          <w:tcPr>
            <w:tcW w:w="3960" w:type="dxa"/>
          </w:tcPr>
          <w:p w:rsidR="00A6668F" w:rsidRPr="00363561" w:rsidRDefault="00A6668F" w:rsidP="00A6668F">
            <w:pPr>
              <w:rPr>
                <w:sz w:val="20"/>
                <w:szCs w:val="20"/>
              </w:rPr>
            </w:pPr>
            <w:r w:rsidRPr="00363561">
              <w:rPr>
                <w:sz w:val="20"/>
                <w:szCs w:val="20"/>
              </w:rPr>
              <w:t>Drums</w:t>
            </w:r>
          </w:p>
        </w:tc>
        <w:tc>
          <w:tcPr>
            <w:tcW w:w="2280" w:type="dxa"/>
          </w:tcPr>
          <w:p w:rsidR="00A6668F" w:rsidRPr="00363561" w:rsidRDefault="00A6668F" w:rsidP="00A6668F">
            <w:pPr>
              <w:rPr>
                <w:sz w:val="20"/>
                <w:szCs w:val="20"/>
              </w:rPr>
            </w:pPr>
            <w:r w:rsidRPr="00363561">
              <w:rPr>
                <w:sz w:val="20"/>
                <w:szCs w:val="20"/>
              </w:rPr>
              <w:t>3412</w:t>
            </w:r>
            <w:r w:rsidR="003615F4">
              <w:rPr>
                <w:sz w:val="20"/>
                <w:szCs w:val="20"/>
              </w:rPr>
              <w:t>.00</w:t>
            </w:r>
            <w:r w:rsidRPr="00363561">
              <w:rPr>
                <w:sz w:val="20"/>
                <w:szCs w:val="20"/>
              </w:rPr>
              <w:t>/drum</w:t>
            </w:r>
          </w:p>
        </w:tc>
      </w:tr>
      <w:tr w:rsidR="00A6668F" w:rsidRPr="00363561" w:rsidTr="00363561">
        <w:tc>
          <w:tcPr>
            <w:tcW w:w="2520" w:type="dxa"/>
          </w:tcPr>
          <w:p w:rsidR="00A6668F" w:rsidRPr="00363561" w:rsidRDefault="00A6668F" w:rsidP="00A6668F">
            <w:pPr>
              <w:rPr>
                <w:sz w:val="20"/>
                <w:szCs w:val="20"/>
              </w:rPr>
            </w:pPr>
          </w:p>
        </w:tc>
        <w:tc>
          <w:tcPr>
            <w:tcW w:w="3960" w:type="dxa"/>
          </w:tcPr>
          <w:p w:rsidR="00A6668F" w:rsidRPr="00363561" w:rsidRDefault="00A6668F" w:rsidP="00A6668F">
            <w:pPr>
              <w:rPr>
                <w:sz w:val="20"/>
                <w:szCs w:val="20"/>
              </w:rPr>
            </w:pPr>
            <w:proofErr w:type="spellStart"/>
            <w:r w:rsidRPr="00363561">
              <w:rPr>
                <w:sz w:val="20"/>
                <w:szCs w:val="20"/>
              </w:rPr>
              <w:t>Labpack</w:t>
            </w:r>
            <w:proofErr w:type="spellEnd"/>
            <w:r w:rsidRPr="00363561">
              <w:rPr>
                <w:sz w:val="20"/>
                <w:szCs w:val="20"/>
              </w:rPr>
              <w:t xml:space="preserve"> Hazardous or Industrial</w:t>
            </w:r>
          </w:p>
        </w:tc>
        <w:tc>
          <w:tcPr>
            <w:tcW w:w="2280" w:type="dxa"/>
          </w:tcPr>
          <w:p w:rsidR="00A6668F" w:rsidRPr="00363561" w:rsidRDefault="00A6668F" w:rsidP="00A6668F">
            <w:pPr>
              <w:rPr>
                <w:sz w:val="20"/>
                <w:szCs w:val="20"/>
              </w:rPr>
            </w:pPr>
            <w:r w:rsidRPr="00363561">
              <w:rPr>
                <w:sz w:val="20"/>
                <w:szCs w:val="20"/>
              </w:rPr>
              <w:t>35.00/pound</w:t>
            </w:r>
          </w:p>
        </w:tc>
      </w:tr>
      <w:tr w:rsidR="00A6668F" w:rsidRPr="00363561" w:rsidTr="00363561">
        <w:tc>
          <w:tcPr>
            <w:tcW w:w="2520" w:type="dxa"/>
          </w:tcPr>
          <w:p w:rsidR="00A6668F" w:rsidRPr="00363561" w:rsidRDefault="00A6668F" w:rsidP="00A6668F">
            <w:pPr>
              <w:rPr>
                <w:sz w:val="20"/>
                <w:szCs w:val="20"/>
              </w:rPr>
            </w:pPr>
            <w:r w:rsidRPr="00363561">
              <w:rPr>
                <w:sz w:val="20"/>
                <w:szCs w:val="20"/>
              </w:rPr>
              <w:t>Industrial Bulk Waste</w:t>
            </w:r>
          </w:p>
        </w:tc>
        <w:tc>
          <w:tcPr>
            <w:tcW w:w="3960" w:type="dxa"/>
          </w:tcPr>
          <w:p w:rsidR="00A6668F" w:rsidRPr="00363561" w:rsidRDefault="00A6668F" w:rsidP="00A6668F">
            <w:pPr>
              <w:rPr>
                <w:sz w:val="20"/>
                <w:szCs w:val="20"/>
              </w:rPr>
            </w:pPr>
            <w:r w:rsidRPr="00363561">
              <w:rPr>
                <w:sz w:val="20"/>
                <w:szCs w:val="20"/>
              </w:rPr>
              <w:t>Drums</w:t>
            </w:r>
          </w:p>
        </w:tc>
        <w:tc>
          <w:tcPr>
            <w:tcW w:w="2280" w:type="dxa"/>
          </w:tcPr>
          <w:p w:rsidR="00A6668F" w:rsidRPr="00363561" w:rsidRDefault="00A6668F" w:rsidP="00A6668F">
            <w:pPr>
              <w:rPr>
                <w:sz w:val="20"/>
                <w:szCs w:val="20"/>
              </w:rPr>
            </w:pPr>
            <w:r w:rsidRPr="00363561">
              <w:rPr>
                <w:sz w:val="20"/>
                <w:szCs w:val="20"/>
              </w:rPr>
              <w:t>996</w:t>
            </w:r>
            <w:r w:rsidR="003615F4">
              <w:rPr>
                <w:sz w:val="20"/>
                <w:szCs w:val="20"/>
              </w:rPr>
              <w:t>.00</w:t>
            </w:r>
            <w:r w:rsidRPr="00363561">
              <w:rPr>
                <w:sz w:val="20"/>
                <w:szCs w:val="20"/>
              </w:rPr>
              <w:t>/drum</w:t>
            </w:r>
          </w:p>
        </w:tc>
      </w:tr>
    </w:tbl>
    <w:p w:rsidR="00A6668F" w:rsidRPr="00363561" w:rsidRDefault="00A6668F" w:rsidP="00A6668F">
      <w:pPr>
        <w:spacing w:after="0"/>
        <w:rPr>
          <w:sz w:val="20"/>
          <w:szCs w:val="20"/>
        </w:rPr>
      </w:pPr>
    </w:p>
    <w:p w:rsidR="00A6668F" w:rsidRPr="00363561" w:rsidRDefault="00A6668F" w:rsidP="00363561">
      <w:pPr>
        <w:pStyle w:val="ListParagraph"/>
        <w:spacing w:after="0"/>
        <w:ind w:hanging="720"/>
        <w:rPr>
          <w:sz w:val="20"/>
          <w:szCs w:val="20"/>
        </w:rPr>
      </w:pPr>
      <w:r w:rsidRPr="00363561">
        <w:rPr>
          <w:sz w:val="20"/>
          <w:szCs w:val="20"/>
        </w:rPr>
        <w:t>EXAMPLE:</w:t>
      </w:r>
    </w:p>
    <w:p w:rsidR="00A6668F" w:rsidRPr="00363561" w:rsidRDefault="00363561" w:rsidP="00363561">
      <w:pPr>
        <w:pStyle w:val="ListParagraph"/>
        <w:spacing w:after="0"/>
        <w:ind w:left="1440" w:hanging="1440"/>
        <w:rPr>
          <w:sz w:val="20"/>
          <w:szCs w:val="20"/>
        </w:rPr>
      </w:pPr>
      <w:r w:rsidRPr="00363561">
        <w:rPr>
          <w:sz w:val="20"/>
          <w:szCs w:val="20"/>
        </w:rPr>
        <w:tab/>
      </w:r>
      <w:r w:rsidR="00A6668F" w:rsidRPr="00363561">
        <w:rPr>
          <w:sz w:val="20"/>
          <w:szCs w:val="20"/>
        </w:rPr>
        <w:t>A project is expected to cost $20,000 to implement.  Equipment costs make up $12,000, installation is estimated at $6,000, and training costs are estimated at $2,000.  The project proposed to eliminate 140 gallons (1190 lbs) of hazardous waste that is traditionally managed in small containers (</w:t>
      </w:r>
      <w:proofErr w:type="spellStart"/>
      <w:r w:rsidR="00A6668F" w:rsidRPr="00363561">
        <w:rPr>
          <w:sz w:val="20"/>
          <w:szCs w:val="20"/>
        </w:rPr>
        <w:t>labpack</w:t>
      </w:r>
      <w:proofErr w:type="spellEnd"/>
      <w:r w:rsidR="00A6668F" w:rsidRPr="00363561">
        <w:rPr>
          <w:sz w:val="20"/>
          <w:szCs w:val="20"/>
        </w:rPr>
        <w:t xml:space="preserve"> waste).  Since the area no longer needs a satellite accumulation area, approximately $2,000 of savings is estimated from reduced oversight and compliance requirements.  Additionally, the employees don’t require hazardous waste training anymore, which is estimated to save about $400 annually.  </w:t>
      </w:r>
    </w:p>
    <w:p w:rsidR="00A6668F" w:rsidRPr="00363561" w:rsidRDefault="00A6668F" w:rsidP="00363561">
      <w:pPr>
        <w:pStyle w:val="ListParagraph"/>
        <w:spacing w:after="0"/>
        <w:ind w:left="1440" w:hanging="1440"/>
        <w:rPr>
          <w:sz w:val="20"/>
          <w:szCs w:val="20"/>
        </w:rPr>
      </w:pPr>
    </w:p>
    <w:p w:rsidR="00A6668F" w:rsidRPr="00363561" w:rsidRDefault="00363561" w:rsidP="00363561">
      <w:pPr>
        <w:pStyle w:val="ListParagraph"/>
        <w:spacing w:after="0"/>
        <w:ind w:left="1440" w:hanging="1440"/>
        <w:rPr>
          <w:sz w:val="20"/>
          <w:szCs w:val="20"/>
        </w:rPr>
      </w:pPr>
      <w:r w:rsidRPr="00363561">
        <w:rPr>
          <w:sz w:val="20"/>
          <w:szCs w:val="20"/>
        </w:rPr>
        <w:tab/>
      </w:r>
      <w:r w:rsidR="00A6668F" w:rsidRPr="00363561">
        <w:rPr>
          <w:sz w:val="20"/>
          <w:szCs w:val="20"/>
        </w:rPr>
        <w:t>Total Project Costs: $20,000</w:t>
      </w:r>
    </w:p>
    <w:p w:rsidR="00A6668F" w:rsidRPr="00363561" w:rsidRDefault="00363561" w:rsidP="00363561">
      <w:pPr>
        <w:pStyle w:val="ListParagraph"/>
        <w:spacing w:after="0"/>
        <w:ind w:left="1440" w:hanging="1440"/>
        <w:rPr>
          <w:sz w:val="20"/>
          <w:szCs w:val="20"/>
        </w:rPr>
      </w:pPr>
      <w:r w:rsidRPr="00363561">
        <w:rPr>
          <w:sz w:val="20"/>
          <w:szCs w:val="20"/>
        </w:rPr>
        <w:tab/>
      </w:r>
      <w:r w:rsidR="00A6668F" w:rsidRPr="00363561">
        <w:rPr>
          <w:sz w:val="20"/>
          <w:szCs w:val="20"/>
        </w:rPr>
        <w:t>Annual Project Savings: $</w:t>
      </w:r>
      <w:r w:rsidR="003615F4">
        <w:rPr>
          <w:sz w:val="20"/>
          <w:szCs w:val="20"/>
        </w:rPr>
        <w:t>44,050</w:t>
      </w:r>
    </w:p>
    <w:p w:rsidR="00A6668F" w:rsidRPr="00363561" w:rsidRDefault="00363561" w:rsidP="00363561">
      <w:pPr>
        <w:pStyle w:val="ListParagraph"/>
        <w:spacing w:after="0"/>
        <w:ind w:left="1440" w:hanging="1440"/>
        <w:rPr>
          <w:sz w:val="20"/>
          <w:szCs w:val="20"/>
        </w:rPr>
      </w:pPr>
      <w:r w:rsidRPr="00363561">
        <w:rPr>
          <w:sz w:val="20"/>
          <w:szCs w:val="20"/>
        </w:rPr>
        <w:tab/>
      </w:r>
      <w:r w:rsidR="00A6668F" w:rsidRPr="00363561">
        <w:rPr>
          <w:sz w:val="20"/>
          <w:szCs w:val="20"/>
        </w:rPr>
        <w:t xml:space="preserve">(1190 </w:t>
      </w:r>
      <w:proofErr w:type="spellStart"/>
      <w:r w:rsidR="00A6668F" w:rsidRPr="00363561">
        <w:rPr>
          <w:sz w:val="20"/>
          <w:szCs w:val="20"/>
        </w:rPr>
        <w:t>lbs</w:t>
      </w:r>
      <w:proofErr w:type="spellEnd"/>
      <w:r w:rsidR="00A6668F" w:rsidRPr="00363561">
        <w:rPr>
          <w:sz w:val="20"/>
          <w:szCs w:val="20"/>
        </w:rPr>
        <w:t xml:space="preserve"> </w:t>
      </w:r>
      <w:proofErr w:type="spellStart"/>
      <w:r w:rsidR="00A6668F" w:rsidRPr="00363561">
        <w:rPr>
          <w:sz w:val="20"/>
          <w:szCs w:val="20"/>
        </w:rPr>
        <w:t>hazwaste</w:t>
      </w:r>
      <w:proofErr w:type="spellEnd"/>
      <w:r w:rsidR="00A6668F" w:rsidRPr="00363561">
        <w:rPr>
          <w:sz w:val="20"/>
          <w:szCs w:val="20"/>
        </w:rPr>
        <w:t>)(</w:t>
      </w:r>
      <w:r w:rsidR="003615F4">
        <w:rPr>
          <w:sz w:val="20"/>
          <w:szCs w:val="20"/>
        </w:rPr>
        <w:t>$</w:t>
      </w:r>
      <w:r w:rsidR="00A6668F" w:rsidRPr="00363561">
        <w:rPr>
          <w:sz w:val="20"/>
          <w:szCs w:val="20"/>
        </w:rPr>
        <w:t>35</w:t>
      </w:r>
      <w:r w:rsidR="003615F4">
        <w:rPr>
          <w:sz w:val="20"/>
          <w:szCs w:val="20"/>
        </w:rPr>
        <w:t>.00</w:t>
      </w:r>
      <w:r w:rsidR="00A6668F" w:rsidRPr="00363561">
        <w:rPr>
          <w:sz w:val="20"/>
          <w:szCs w:val="20"/>
        </w:rPr>
        <w:t>/</w:t>
      </w:r>
      <w:proofErr w:type="spellStart"/>
      <w:r w:rsidR="00A6668F" w:rsidRPr="00363561">
        <w:rPr>
          <w:sz w:val="20"/>
          <w:szCs w:val="20"/>
        </w:rPr>
        <w:t>lbs</w:t>
      </w:r>
      <w:proofErr w:type="spellEnd"/>
      <w:r w:rsidR="00A6668F" w:rsidRPr="00363561">
        <w:rPr>
          <w:sz w:val="20"/>
          <w:szCs w:val="20"/>
        </w:rPr>
        <w:t>) = 41,650 +$2,000 + 400 = 44,050</w:t>
      </w:r>
    </w:p>
    <w:p w:rsidR="00A6668F" w:rsidRPr="00363561" w:rsidRDefault="00A6668F" w:rsidP="00363561">
      <w:pPr>
        <w:pStyle w:val="ListParagraph"/>
        <w:spacing w:after="0"/>
        <w:ind w:left="1440" w:hanging="1440"/>
        <w:rPr>
          <w:sz w:val="20"/>
          <w:szCs w:val="20"/>
        </w:rPr>
      </w:pPr>
    </w:p>
    <w:p w:rsidR="00363561" w:rsidRDefault="003615F4" w:rsidP="00363561">
      <w:pPr>
        <w:pStyle w:val="ListParagraph"/>
        <w:spacing w:after="0"/>
        <w:ind w:left="1440" w:hanging="1440"/>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187960</wp:posOffset>
                </wp:positionV>
                <wp:extent cx="781050" cy="635"/>
                <wp:effectExtent l="9525" t="12700" r="9525" b="57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2.25pt;margin-top:14.8pt;width:6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xKHwIAADw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"/>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187960</wp:posOffset>
                </wp:positionV>
                <wp:extent cx="447675" cy="0"/>
                <wp:effectExtent l="9525" t="1270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2pt;margin-top:14.8pt;width:3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Yc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c8fZ49TjO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"/>
            </w:pict>
          </mc:Fallback>
        </mc:AlternateContent>
      </w:r>
      <w:r w:rsidR="00363561" w:rsidRPr="00363561">
        <w:rPr>
          <w:sz w:val="20"/>
          <w:szCs w:val="20"/>
        </w:rPr>
        <w:tab/>
      </w:r>
      <w:r w:rsidR="00A6668F" w:rsidRPr="00363561">
        <w:rPr>
          <w:sz w:val="20"/>
          <w:szCs w:val="20"/>
        </w:rPr>
        <w:t>PAYBACK PERIOD = Total Cost</w:t>
      </w:r>
      <w:r w:rsidR="00363561">
        <w:rPr>
          <w:sz w:val="20"/>
          <w:szCs w:val="20"/>
        </w:rPr>
        <w:tab/>
        <w:t xml:space="preserve">  </w:t>
      </w:r>
      <w:r w:rsidR="00363561" w:rsidRPr="00363561">
        <w:rPr>
          <w:sz w:val="20"/>
          <w:szCs w:val="20"/>
        </w:rPr>
        <w:t xml:space="preserve">= </w:t>
      </w:r>
      <w:r w:rsidR="00363561">
        <w:rPr>
          <w:sz w:val="20"/>
          <w:szCs w:val="20"/>
        </w:rPr>
        <w:t xml:space="preserve"> </w:t>
      </w:r>
      <w:r w:rsidR="00363561">
        <w:rPr>
          <w:sz w:val="20"/>
          <w:szCs w:val="20"/>
        </w:rPr>
        <w:tab/>
      </w:r>
      <w:r w:rsidR="00363561" w:rsidRPr="00363561">
        <w:rPr>
          <w:sz w:val="20"/>
          <w:szCs w:val="20"/>
        </w:rPr>
        <w:t>$20,000</w:t>
      </w:r>
      <w:r w:rsidR="00363561">
        <w:rPr>
          <w:sz w:val="20"/>
          <w:szCs w:val="20"/>
        </w:rPr>
        <w:tab/>
        <w:t xml:space="preserve">  </w:t>
      </w:r>
      <w:r w:rsidR="00363561" w:rsidRPr="00363561">
        <w:rPr>
          <w:sz w:val="20"/>
          <w:szCs w:val="20"/>
        </w:rPr>
        <w:t xml:space="preserve">= 0.45 </w:t>
      </w:r>
      <w:r w:rsidR="00363561">
        <w:t>years</w:t>
      </w:r>
    </w:p>
    <w:p w:rsidR="00A6668F" w:rsidRDefault="00363561" w:rsidP="00363561">
      <w:pPr>
        <w:pStyle w:val="ListParagraph"/>
        <w:spacing w:after="0"/>
        <w:ind w:left="1440" w:hanging="1440"/>
      </w:pPr>
      <w:r>
        <w:rPr>
          <w:sz w:val="20"/>
          <w:szCs w:val="20"/>
        </w:rPr>
        <w:tab/>
      </w:r>
      <w:r>
        <w:rPr>
          <w:sz w:val="20"/>
          <w:szCs w:val="20"/>
        </w:rPr>
        <w:tab/>
      </w:r>
      <w:r>
        <w:rPr>
          <w:sz w:val="20"/>
          <w:szCs w:val="20"/>
        </w:rPr>
        <w:tab/>
        <w:t xml:space="preserve">    </w:t>
      </w:r>
      <w:r w:rsidR="00A6668F" w:rsidRPr="00363561">
        <w:rPr>
          <w:sz w:val="20"/>
          <w:szCs w:val="20"/>
        </w:rPr>
        <w:t>Annual Savings</w:t>
      </w:r>
      <w:r>
        <w:rPr>
          <w:sz w:val="20"/>
          <w:szCs w:val="20"/>
        </w:rPr>
        <w:tab/>
      </w:r>
      <w:r>
        <w:rPr>
          <w:sz w:val="20"/>
          <w:szCs w:val="20"/>
        </w:rPr>
        <w:tab/>
        <w:t>$</w:t>
      </w:r>
      <w:r w:rsidR="00A6668F" w:rsidRPr="00363561">
        <w:rPr>
          <w:sz w:val="20"/>
          <w:szCs w:val="20"/>
        </w:rPr>
        <w:t xml:space="preserve">44,050 </w:t>
      </w:r>
    </w:p>
    <w:sectPr w:rsidR="00A6668F" w:rsidSect="003635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C0134"/>
    <w:multiLevelType w:val="hybridMultilevel"/>
    <w:tmpl w:val="797CF864"/>
    <w:lvl w:ilvl="0" w:tplc="89420C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5062D"/>
    <w:multiLevelType w:val="hybridMultilevel"/>
    <w:tmpl w:val="EB581B6A"/>
    <w:lvl w:ilvl="0" w:tplc="F03CC5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DA"/>
    <w:rsid w:val="000277DA"/>
    <w:rsid w:val="003329DE"/>
    <w:rsid w:val="003615F4"/>
    <w:rsid w:val="00363561"/>
    <w:rsid w:val="004C3B9D"/>
    <w:rsid w:val="00A6668F"/>
    <w:rsid w:val="00FA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7DA"/>
    <w:pPr>
      <w:ind w:left="720"/>
      <w:contextualSpacing/>
    </w:pPr>
  </w:style>
  <w:style w:type="table" w:styleId="TableGrid">
    <w:name w:val="Table Grid"/>
    <w:basedOn w:val="TableNormal"/>
    <w:uiPriority w:val="59"/>
    <w:rsid w:val="00A6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363561"/>
    <w:pPr>
      <w:spacing w:after="0" w:line="240" w:lineRule="auto"/>
    </w:p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7DA"/>
    <w:pPr>
      <w:ind w:left="720"/>
      <w:contextualSpacing/>
    </w:pPr>
  </w:style>
  <w:style w:type="table" w:styleId="TableGrid">
    <w:name w:val="Table Grid"/>
    <w:basedOn w:val="TableNormal"/>
    <w:uiPriority w:val="59"/>
    <w:rsid w:val="00A6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363561"/>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Theisen, Melanie</dc:creator>
  <cp:lastModifiedBy>pohlot</cp:lastModifiedBy>
  <cp:revision>2</cp:revision>
  <dcterms:created xsi:type="dcterms:W3CDTF">2014-12-18T20:11:00Z</dcterms:created>
  <dcterms:modified xsi:type="dcterms:W3CDTF">2014-12-18T20:11:00Z</dcterms:modified>
</cp:coreProperties>
</file>